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1F" w:rsidRDefault="00965B52" w:rsidP="00EB5B1F">
      <w:pPr>
        <w:pStyle w:val="HeadingcentredAgency"/>
      </w:pPr>
      <w:bookmarkStart w:id="0" w:name="_GoBack"/>
      <w:bookmarkEnd w:id="0"/>
      <w:r>
        <w:t>Trial results: Modalities and timing of posting</w:t>
      </w:r>
    </w:p>
    <w:p w:rsidR="00EB5B1F" w:rsidRPr="00EB5B1F" w:rsidRDefault="0049061D" w:rsidP="0049061D">
      <w:pPr>
        <w:pStyle w:val="BodytextAgency"/>
        <w:jc w:val="center"/>
      </w:pPr>
      <w:r>
        <w:t>Version 1.0</w:t>
      </w:r>
      <w:r w:rsidR="00A93866">
        <w:t xml:space="preserve"> (18 April 2016)</w:t>
      </w:r>
    </w:p>
    <w:p w:rsidR="00BB13CA" w:rsidRPr="00BB13CA" w:rsidRDefault="004D46EB" w:rsidP="00107F2A">
      <w:pPr>
        <w:pStyle w:val="Heading1Agency"/>
      </w:pPr>
      <w:r>
        <w:t xml:space="preserve">Interventional Clinical </w:t>
      </w:r>
      <w:r w:rsidR="00BB13CA" w:rsidRPr="00BB13CA">
        <w:t xml:space="preserve">Trials that ended on or after </w:t>
      </w:r>
      <w:r w:rsidR="00724E90">
        <w:t xml:space="preserve">21 July 2014 (i.e. </w:t>
      </w:r>
      <w:r w:rsidR="00107F2A">
        <w:t>the date of</w:t>
      </w:r>
      <w:r w:rsidR="00BB44AD">
        <w:t xml:space="preserve"> finalisation of the programming according to Commission Guideline (2012/C 302/03)</w:t>
      </w:r>
      <w:r w:rsidR="00724E90">
        <w:t>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393"/>
        <w:gridCol w:w="3394"/>
        <w:gridCol w:w="3394"/>
        <w:gridCol w:w="3394"/>
      </w:tblGrid>
      <w:tr w:rsidR="009F3E7A" w:rsidTr="00EE6744">
        <w:trPr>
          <w:trHeight w:val="556"/>
          <w:tblHeader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  <w:vAlign w:val="center"/>
          </w:tcPr>
          <w:p w:rsidR="009F3E7A" w:rsidRPr="0083219B" w:rsidRDefault="009F3E7A" w:rsidP="0083219B">
            <w:pPr>
              <w:jc w:val="center"/>
              <w:rPr>
                <w:rFonts w:ascii="Tahoma" w:hAnsi="Tahoma"/>
                <w:b/>
                <w:szCs w:val="18"/>
              </w:rPr>
            </w:pPr>
            <w:r w:rsidRPr="0083219B">
              <w:rPr>
                <w:rFonts w:ascii="Tahoma" w:hAnsi="Tahoma"/>
                <w:b/>
                <w:szCs w:val="18"/>
              </w:rPr>
              <w:t>Trial category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  <w:vAlign w:val="center"/>
          </w:tcPr>
          <w:p w:rsidR="009F3E7A" w:rsidRPr="0083219B" w:rsidRDefault="00E67E27" w:rsidP="0083219B">
            <w:pPr>
              <w:jc w:val="center"/>
              <w:rPr>
                <w:rFonts w:ascii="Tahoma" w:hAnsi="Tahoma"/>
                <w:b/>
                <w:szCs w:val="18"/>
              </w:rPr>
            </w:pPr>
            <w:r w:rsidRPr="0083219B">
              <w:rPr>
                <w:rFonts w:ascii="Tahoma" w:hAnsi="Tahoma"/>
                <w:b/>
                <w:szCs w:val="18"/>
              </w:rPr>
              <w:t xml:space="preserve">What </w:t>
            </w:r>
            <w:r w:rsidR="000074A0" w:rsidRPr="0083219B">
              <w:rPr>
                <w:rFonts w:ascii="Tahoma" w:hAnsi="Tahoma"/>
                <w:b/>
                <w:szCs w:val="18"/>
              </w:rPr>
              <w:t xml:space="preserve">is in </w:t>
            </w:r>
            <w:r w:rsidRPr="0083219B">
              <w:rPr>
                <w:rFonts w:ascii="Tahoma" w:hAnsi="Tahoma"/>
                <w:b/>
                <w:szCs w:val="18"/>
              </w:rPr>
              <w:t>scope of EudraCT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  <w:vAlign w:val="center"/>
          </w:tcPr>
          <w:p w:rsidR="009F3E7A" w:rsidRPr="0083219B" w:rsidRDefault="00107F2A" w:rsidP="0083219B">
            <w:pPr>
              <w:jc w:val="center"/>
              <w:rPr>
                <w:rFonts w:ascii="Tahoma" w:hAnsi="Tahoma"/>
                <w:b/>
                <w:szCs w:val="18"/>
              </w:rPr>
            </w:pPr>
            <w:r w:rsidRPr="0083219B">
              <w:rPr>
                <w:rFonts w:ascii="Tahoma" w:hAnsi="Tahoma"/>
                <w:b/>
                <w:szCs w:val="18"/>
              </w:rPr>
              <w:t>Composition of results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  <w:vAlign w:val="center"/>
          </w:tcPr>
          <w:p w:rsidR="009F3E7A" w:rsidRPr="0083219B" w:rsidRDefault="009F3E7A" w:rsidP="0083219B">
            <w:pPr>
              <w:jc w:val="center"/>
              <w:rPr>
                <w:rFonts w:ascii="Tahoma" w:hAnsi="Tahoma"/>
                <w:b/>
                <w:szCs w:val="18"/>
              </w:rPr>
            </w:pPr>
            <w:r w:rsidRPr="0083219B">
              <w:rPr>
                <w:rFonts w:ascii="Tahoma" w:hAnsi="Tahoma"/>
                <w:b/>
                <w:szCs w:val="18"/>
              </w:rPr>
              <w:t>Timing of posting</w:t>
            </w:r>
          </w:p>
        </w:tc>
      </w:tr>
      <w:tr w:rsidR="006479CC" w:rsidTr="00EE6744">
        <w:trPr>
          <w:trHeight w:val="1145"/>
        </w:trPr>
        <w:tc>
          <w:tcPr>
            <w:tcW w:w="3393" w:type="dxa"/>
            <w:shd w:val="clear" w:color="auto" w:fill="E1E3F2"/>
            <w:vAlign w:val="center"/>
          </w:tcPr>
          <w:p w:rsidR="006479CC" w:rsidRPr="0083219B" w:rsidRDefault="006479CC" w:rsidP="005C4176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Non-paediatric trials</w:t>
            </w:r>
            <w:r w:rsidR="0083219B" w:rsidRPr="0083219B">
              <w:rPr>
                <w:rFonts w:ascii="Verdana" w:hAnsi="Verdana"/>
              </w:rPr>
              <w:t xml:space="preserve"> where </w:t>
            </w:r>
            <w:r w:rsidR="0049602D" w:rsidRPr="0083219B">
              <w:rPr>
                <w:rFonts w:ascii="Verdana" w:hAnsi="Verdana"/>
              </w:rPr>
              <w:t>regulated by Directive 2001/20/EC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6479CC" w:rsidRPr="0083219B" w:rsidRDefault="00221D38" w:rsidP="00BF4FF5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 xml:space="preserve">All non-paediatric </w:t>
            </w:r>
            <w:r w:rsidR="006479CC" w:rsidRPr="0083219B">
              <w:rPr>
                <w:rFonts w:ascii="Verdana" w:hAnsi="Verdana"/>
              </w:rPr>
              <w:t>trials</w:t>
            </w:r>
            <w:r w:rsidR="0083219B" w:rsidRPr="0083219B">
              <w:rPr>
                <w:rFonts w:ascii="Verdana" w:hAnsi="Verdana"/>
              </w:rPr>
              <w:t xml:space="preserve"> conducted in at least one EEA country</w:t>
            </w:r>
            <w:r w:rsidR="00D1645A">
              <w:rPr>
                <w:rFonts w:ascii="Verdana" w:hAnsi="Verdana"/>
              </w:rPr>
              <w:t xml:space="preserve">, </w:t>
            </w:r>
            <w:r w:rsidR="00D1645A" w:rsidRPr="00D1645A">
              <w:rPr>
                <w:rFonts w:ascii="Verdana" w:hAnsi="Verdana"/>
              </w:rPr>
              <w:t>whether or not included in an agreed paediatric investigation plan (PIP)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6479CC" w:rsidRPr="0083219B" w:rsidRDefault="006479CC" w:rsidP="007A3AB4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Full data set mandatory, summary attachment(s) optional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6479CC" w:rsidRPr="0083219B" w:rsidRDefault="006479CC" w:rsidP="006479CC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≤ 12 months after the end of the trial</w:t>
            </w:r>
            <w:r w:rsidR="00477A3C" w:rsidRPr="0083219B">
              <w:rPr>
                <w:rStyle w:val="FootnoteReference"/>
                <w:rFonts w:ascii="Verdana" w:hAnsi="Verdana"/>
              </w:rPr>
              <w:footnoteReference w:id="1"/>
            </w:r>
          </w:p>
        </w:tc>
      </w:tr>
      <w:tr w:rsidR="006479CC" w:rsidTr="00EE6744">
        <w:trPr>
          <w:trHeight w:val="858"/>
        </w:trPr>
        <w:tc>
          <w:tcPr>
            <w:tcW w:w="3393" w:type="dxa"/>
            <w:shd w:val="clear" w:color="auto" w:fill="E1E3F2"/>
            <w:vAlign w:val="center"/>
          </w:tcPr>
          <w:p w:rsidR="006479CC" w:rsidRPr="0083219B" w:rsidRDefault="000A59A3" w:rsidP="006479CC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Paediatric</w:t>
            </w:r>
            <w:r w:rsidR="005C4176" w:rsidRPr="0083219B">
              <w:rPr>
                <w:rStyle w:val="FootnoteReference"/>
                <w:rFonts w:ascii="Verdana" w:hAnsi="Verdana"/>
              </w:rPr>
              <w:footnoteReference w:id="2"/>
            </w:r>
            <w:r w:rsidRPr="0083219B">
              <w:rPr>
                <w:rFonts w:ascii="Verdana" w:hAnsi="Verdana"/>
              </w:rPr>
              <w:t xml:space="preserve"> trials in scope of a</w:t>
            </w:r>
            <w:r w:rsidR="006479CC" w:rsidRPr="0083219B">
              <w:rPr>
                <w:rFonts w:ascii="Verdana" w:hAnsi="Verdana"/>
              </w:rPr>
              <w:t>rticle 46</w:t>
            </w:r>
            <w:r w:rsidR="00F8441C">
              <w:rPr>
                <w:rStyle w:val="FootnoteReference"/>
                <w:rFonts w:ascii="Verdana" w:hAnsi="Verdana"/>
              </w:rPr>
              <w:footnoteReference w:id="3"/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6479CC" w:rsidRPr="0083219B" w:rsidRDefault="004D46EB" w:rsidP="00D1645A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 xml:space="preserve">Paediatric </w:t>
            </w:r>
            <w:r w:rsidR="006479CC" w:rsidRPr="0083219B">
              <w:rPr>
                <w:rFonts w:ascii="Verdana" w:hAnsi="Verdana"/>
              </w:rPr>
              <w:t xml:space="preserve">trials </w:t>
            </w:r>
            <w:r w:rsidR="00D1645A">
              <w:rPr>
                <w:rFonts w:ascii="Verdana" w:hAnsi="Verdana"/>
              </w:rPr>
              <w:t>completed after</w:t>
            </w:r>
            <w:r w:rsidR="00B155C4" w:rsidRPr="0083219B">
              <w:rPr>
                <w:rFonts w:ascii="Verdana" w:hAnsi="Verdana"/>
              </w:rPr>
              <w:t xml:space="preserve"> </w:t>
            </w:r>
            <w:r w:rsidR="006479CC" w:rsidRPr="0083219B">
              <w:rPr>
                <w:rFonts w:ascii="Verdana" w:hAnsi="Verdana"/>
              </w:rPr>
              <w:t>26 January 2007</w:t>
            </w:r>
            <w:r w:rsidR="00221D38" w:rsidRPr="0083219B">
              <w:rPr>
                <w:rFonts w:ascii="Verdana" w:hAnsi="Verdana"/>
              </w:rPr>
              <w:t xml:space="preserve"> which</w:t>
            </w:r>
            <w:r w:rsidR="006479CC" w:rsidRPr="0083219B">
              <w:rPr>
                <w:rFonts w:ascii="Verdana" w:hAnsi="Verdana"/>
              </w:rPr>
              <w:t xml:space="preserve"> involve the use of a medicinal product covered by a</w:t>
            </w:r>
            <w:r w:rsidR="004F6D02">
              <w:rPr>
                <w:rFonts w:ascii="Verdana" w:hAnsi="Verdana"/>
              </w:rPr>
              <w:t>n EU</w:t>
            </w:r>
            <w:r w:rsidR="006479CC" w:rsidRPr="0083219B">
              <w:rPr>
                <w:rFonts w:ascii="Verdana" w:hAnsi="Verdana"/>
              </w:rPr>
              <w:t xml:space="preserve"> marketing authorisation and are sponsored by the marketing authorisation holder</w:t>
            </w:r>
            <w:r w:rsidR="0065415C" w:rsidRPr="0083219B">
              <w:rPr>
                <w:rFonts w:ascii="Verdana" w:hAnsi="Verdana"/>
              </w:rPr>
              <w:t>, whether or not included in an agreed paediatric investigation plan (PIP)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6479CC" w:rsidRPr="0083219B" w:rsidRDefault="007A3AB4" w:rsidP="006479CC">
            <w:pPr>
              <w:rPr>
                <w:rFonts w:ascii="Verdana" w:hAnsi="Verdana"/>
              </w:rPr>
            </w:pPr>
            <w:r w:rsidRPr="007A3AB4">
              <w:rPr>
                <w:rFonts w:ascii="Verdana" w:hAnsi="Verdana"/>
              </w:rPr>
              <w:t>Full data set mandatory, summary attachment(s) optional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6479CC" w:rsidRPr="0083219B" w:rsidRDefault="006479CC" w:rsidP="00F8441C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≤ 6 months after the end of the trial</w:t>
            </w:r>
            <w:r w:rsidR="00F8441C">
              <w:rPr>
                <w:rStyle w:val="FootnoteReference"/>
                <w:rFonts w:ascii="Verdana" w:hAnsi="Verdana"/>
              </w:rPr>
              <w:footnoteReference w:id="4"/>
            </w:r>
          </w:p>
        </w:tc>
      </w:tr>
      <w:tr w:rsidR="004D46EB" w:rsidTr="00EE6744">
        <w:trPr>
          <w:trHeight w:val="858"/>
        </w:trPr>
        <w:tc>
          <w:tcPr>
            <w:tcW w:w="3393" w:type="dxa"/>
            <w:shd w:val="clear" w:color="auto" w:fill="E1E3F2"/>
            <w:vAlign w:val="center"/>
          </w:tcPr>
          <w:p w:rsidR="004D46EB" w:rsidRPr="0083219B" w:rsidRDefault="004D46EB" w:rsidP="00514FD8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lastRenderedPageBreak/>
              <w:t>Paediatric trials in scope of article 41(1) which are not in scope of article 46</w:t>
            </w:r>
            <w:r w:rsidR="0031419D" w:rsidRPr="0083219B">
              <w:rPr>
                <w:rFonts w:ascii="Verdana" w:hAnsi="Verdana"/>
              </w:rPr>
              <w:t xml:space="preserve"> (</w:t>
            </w:r>
            <w:r w:rsidR="0083219B" w:rsidRPr="0083219B">
              <w:rPr>
                <w:rFonts w:ascii="Verdana" w:hAnsi="Verdana"/>
              </w:rPr>
              <w:t xml:space="preserve">where </w:t>
            </w:r>
            <w:r w:rsidR="0031419D" w:rsidRPr="0083219B">
              <w:rPr>
                <w:rFonts w:ascii="Verdana" w:hAnsi="Verdana"/>
              </w:rPr>
              <w:t>regulated by Directive 2001/20/EC)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4D46EB" w:rsidRPr="0083219B" w:rsidRDefault="006830B9" w:rsidP="00C3516E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P</w:t>
            </w:r>
            <w:r w:rsidR="004D46EB" w:rsidRPr="0083219B">
              <w:rPr>
                <w:rFonts w:ascii="Verdana" w:hAnsi="Verdana"/>
              </w:rPr>
              <w:t xml:space="preserve">aediatric trials </w:t>
            </w:r>
            <w:r w:rsidR="00C3516E">
              <w:rPr>
                <w:rFonts w:ascii="Verdana" w:hAnsi="Verdana"/>
              </w:rPr>
              <w:t>completed</w:t>
            </w:r>
            <w:r w:rsidR="004D46EB" w:rsidRPr="0083219B">
              <w:rPr>
                <w:rFonts w:ascii="Verdana" w:hAnsi="Verdana"/>
              </w:rPr>
              <w:t xml:space="preserve"> after 26 January 2007</w:t>
            </w:r>
            <w:r w:rsidR="004C6876" w:rsidRPr="0083219B">
              <w:rPr>
                <w:rFonts w:ascii="Verdana" w:hAnsi="Verdana"/>
              </w:rPr>
              <w:t>,</w:t>
            </w:r>
            <w:r w:rsidR="000D09D8" w:rsidRPr="0083219B">
              <w:rPr>
                <w:rFonts w:ascii="Verdana" w:hAnsi="Verdana"/>
              </w:rPr>
              <w:t xml:space="preserve"> </w:t>
            </w:r>
            <w:r w:rsidR="0031419D" w:rsidRPr="0083219B">
              <w:rPr>
                <w:rFonts w:ascii="Verdana" w:hAnsi="Verdana"/>
              </w:rPr>
              <w:t>conducted in at least one EEA country</w:t>
            </w:r>
            <w:r w:rsidR="004C6876" w:rsidRPr="0083219B">
              <w:rPr>
                <w:rFonts w:ascii="Verdana" w:hAnsi="Verdana"/>
              </w:rPr>
              <w:t xml:space="preserve"> and not </w:t>
            </w:r>
            <w:r w:rsidR="00C3516E">
              <w:rPr>
                <w:rFonts w:ascii="Verdana" w:hAnsi="Verdana"/>
              </w:rPr>
              <w:t xml:space="preserve">being marketing authorisation holder-sponsored </w:t>
            </w:r>
            <w:r w:rsidR="004D46EB" w:rsidRPr="0083219B">
              <w:rPr>
                <w:rFonts w:ascii="Verdana" w:hAnsi="Verdana"/>
              </w:rPr>
              <w:t xml:space="preserve"> 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4D46EB" w:rsidRPr="0083219B" w:rsidRDefault="005B482A" w:rsidP="006479CC">
            <w:pPr>
              <w:rPr>
                <w:rFonts w:ascii="Verdana" w:hAnsi="Verdana"/>
              </w:rPr>
            </w:pPr>
            <w:r w:rsidRPr="005B482A">
              <w:rPr>
                <w:rFonts w:ascii="Verdana" w:hAnsi="Verdana"/>
              </w:rPr>
              <w:t>Full data set mandatory, summary attachment(s) optional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4D46EB" w:rsidRPr="0083219B" w:rsidRDefault="004D46EB" w:rsidP="00781D68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≤ 6 months after the end of the trial, or</w:t>
            </w:r>
          </w:p>
          <w:p w:rsidR="004D46EB" w:rsidRPr="0083219B" w:rsidRDefault="004D46EB" w:rsidP="006479CC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≤ 12 months after the end of the trial if justified</w:t>
            </w:r>
            <w:r w:rsidR="0049602D" w:rsidRPr="0083219B">
              <w:rPr>
                <w:rStyle w:val="FootnoteReference"/>
                <w:rFonts w:ascii="Verdana" w:hAnsi="Verdana"/>
              </w:rPr>
              <w:footnoteReference w:id="5"/>
            </w:r>
          </w:p>
        </w:tc>
      </w:tr>
      <w:tr w:rsidR="0031419D" w:rsidTr="00EE6744">
        <w:trPr>
          <w:trHeight w:val="858"/>
        </w:trPr>
        <w:tc>
          <w:tcPr>
            <w:tcW w:w="3393" w:type="dxa"/>
            <w:shd w:val="clear" w:color="auto" w:fill="E1E3F2"/>
            <w:vAlign w:val="center"/>
          </w:tcPr>
          <w:p w:rsidR="0031419D" w:rsidRPr="0083219B" w:rsidRDefault="0031419D" w:rsidP="00514FD8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Paediatric trials in scope of article 41(1) which are not in scope of article 46</w:t>
            </w:r>
            <w:r w:rsidR="0049602D" w:rsidRPr="0083219B">
              <w:rPr>
                <w:rFonts w:ascii="Verdana" w:hAnsi="Verdana"/>
              </w:rPr>
              <w:t xml:space="preserve"> (investigator sites are </w:t>
            </w:r>
            <w:r w:rsidR="0083219B" w:rsidRPr="0083219B">
              <w:rPr>
                <w:rFonts w:ascii="Verdana" w:hAnsi="Verdana"/>
              </w:rPr>
              <w:t xml:space="preserve">all </w:t>
            </w:r>
            <w:r w:rsidR="0049602D" w:rsidRPr="0083219B">
              <w:rPr>
                <w:rFonts w:ascii="Verdana" w:hAnsi="Verdana"/>
              </w:rPr>
              <w:t>outside EEA)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31419D" w:rsidRPr="0083219B" w:rsidRDefault="0031419D" w:rsidP="00C3516E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 xml:space="preserve">Paediatric trials </w:t>
            </w:r>
            <w:r w:rsidR="00C3516E">
              <w:rPr>
                <w:rFonts w:ascii="Verdana" w:hAnsi="Verdana"/>
              </w:rPr>
              <w:t>completed</w:t>
            </w:r>
            <w:r w:rsidRPr="0083219B">
              <w:rPr>
                <w:rFonts w:ascii="Verdana" w:hAnsi="Verdana"/>
              </w:rPr>
              <w:t xml:space="preserve"> after 26 January 2007</w:t>
            </w:r>
            <w:r w:rsidR="004C6876" w:rsidRPr="0083219B">
              <w:rPr>
                <w:rFonts w:ascii="Verdana" w:hAnsi="Verdana"/>
              </w:rPr>
              <w:t xml:space="preserve">, </w:t>
            </w:r>
            <w:r w:rsidRPr="0083219B">
              <w:rPr>
                <w:rFonts w:ascii="Verdana" w:hAnsi="Verdana"/>
              </w:rPr>
              <w:t>conducted completely outside the EEA</w:t>
            </w:r>
            <w:r w:rsidR="004C6876" w:rsidRPr="0083219B">
              <w:rPr>
                <w:rFonts w:ascii="Verdana" w:hAnsi="Verdana"/>
              </w:rPr>
              <w:t xml:space="preserve">, </w:t>
            </w:r>
            <w:r w:rsidRPr="0083219B">
              <w:rPr>
                <w:rFonts w:ascii="Verdana" w:hAnsi="Verdana"/>
              </w:rPr>
              <w:t xml:space="preserve">not </w:t>
            </w:r>
            <w:r w:rsidR="00C3516E">
              <w:rPr>
                <w:rFonts w:ascii="Verdana" w:hAnsi="Verdana"/>
              </w:rPr>
              <w:t>being marketing authorisation holder-sponsored</w:t>
            </w:r>
            <w:r w:rsidR="00DF566B">
              <w:rPr>
                <w:rFonts w:ascii="Verdana" w:hAnsi="Verdana"/>
              </w:rPr>
              <w:t xml:space="preserve"> </w:t>
            </w:r>
            <w:r w:rsidRPr="0083219B">
              <w:rPr>
                <w:rFonts w:ascii="Verdana" w:hAnsi="Verdana"/>
              </w:rPr>
              <w:t>and included in an agreed PIP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31419D" w:rsidRPr="0083219B" w:rsidRDefault="005B482A" w:rsidP="006479CC">
            <w:pPr>
              <w:rPr>
                <w:rFonts w:ascii="Verdana" w:hAnsi="Verdana"/>
              </w:rPr>
            </w:pPr>
            <w:r w:rsidRPr="005B482A">
              <w:rPr>
                <w:rFonts w:ascii="Verdana" w:hAnsi="Verdana"/>
              </w:rPr>
              <w:t>Full data set mandatory, summary attachment(s) optional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31419D" w:rsidRPr="0083219B" w:rsidRDefault="0031419D" w:rsidP="0031419D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≤ 6 months after the end of the trial, or</w:t>
            </w:r>
          </w:p>
          <w:p w:rsidR="0031419D" w:rsidRPr="0083219B" w:rsidRDefault="0031419D" w:rsidP="00781D68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≤ 12 months after the end of the trial if justified</w:t>
            </w:r>
            <w:r w:rsidR="0049602D" w:rsidRPr="0083219B">
              <w:rPr>
                <w:rStyle w:val="FootnoteReference"/>
                <w:rFonts w:ascii="Verdana" w:hAnsi="Verdana"/>
              </w:rPr>
              <w:footnoteReference w:id="6"/>
            </w:r>
          </w:p>
        </w:tc>
      </w:tr>
      <w:tr w:rsidR="00E075D3" w:rsidTr="00EE6744">
        <w:trPr>
          <w:trHeight w:val="858"/>
        </w:trPr>
        <w:tc>
          <w:tcPr>
            <w:tcW w:w="3393" w:type="dxa"/>
            <w:shd w:val="clear" w:color="auto" w:fill="E1E3F2"/>
            <w:vAlign w:val="center"/>
          </w:tcPr>
          <w:p w:rsidR="00E075D3" w:rsidRPr="0083219B" w:rsidRDefault="00E075D3" w:rsidP="00B15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Non-paediatric trials in scope of article 41(1) </w:t>
            </w:r>
            <w:r w:rsidR="00B07FA2">
              <w:rPr>
                <w:rFonts w:ascii="Verdana" w:hAnsi="Verdana"/>
              </w:rPr>
              <w:t>(investigator sites are all outside EEA)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E075D3" w:rsidRPr="0083219B" w:rsidRDefault="00B07FA2" w:rsidP="004C68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Non-paediatric trials conducted outside EEA and included in an agreed PIP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E075D3" w:rsidRPr="005B482A" w:rsidRDefault="00B07FA2" w:rsidP="006479CC">
            <w:pPr>
              <w:rPr>
                <w:rFonts w:ascii="Verdana" w:hAnsi="Verdana"/>
              </w:rPr>
            </w:pPr>
            <w:r w:rsidRPr="005B482A">
              <w:rPr>
                <w:rFonts w:ascii="Verdana" w:hAnsi="Verdana"/>
              </w:rPr>
              <w:t>Full data set mandatory, summary attachment(s) optional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E075D3" w:rsidRPr="0083219B" w:rsidRDefault="00B07FA2" w:rsidP="0031419D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≤ 12 months after the end of the trial</w:t>
            </w:r>
            <w:r w:rsidR="00612402" w:rsidRPr="0083219B">
              <w:rPr>
                <w:rStyle w:val="FootnoteReference"/>
                <w:rFonts w:ascii="Verdana" w:hAnsi="Verdana"/>
              </w:rPr>
              <w:footnoteReference w:id="7"/>
            </w:r>
          </w:p>
        </w:tc>
      </w:tr>
    </w:tbl>
    <w:p w:rsidR="00E25D81" w:rsidRDefault="00E25D81"/>
    <w:p w:rsidR="004365FB" w:rsidRDefault="00EE6744" w:rsidP="004365FB">
      <w:pPr>
        <w:pStyle w:val="Heading1Agency"/>
      </w:pPr>
      <w:r>
        <w:br w:type="page"/>
      </w:r>
      <w:r w:rsidR="004365FB" w:rsidRPr="00BB13CA">
        <w:lastRenderedPageBreak/>
        <w:t xml:space="preserve">Trials that ended </w:t>
      </w:r>
      <w:r w:rsidR="004365FB">
        <w:t>prior to</w:t>
      </w:r>
      <w:r w:rsidR="00724E90">
        <w:t xml:space="preserve"> 21 July 2014 (i.e.</w:t>
      </w:r>
      <w:r w:rsidR="004365FB" w:rsidRPr="00BB13CA">
        <w:t xml:space="preserve"> </w:t>
      </w:r>
      <w:r w:rsidR="004365FB" w:rsidRPr="00EC6F6E">
        <w:t>the date of finalisation of the program</w:t>
      </w:r>
      <w:r w:rsidR="004365FB">
        <w:t>ming according to Commission Guideline (2012/C 302/03)</w:t>
      </w:r>
      <w:r w:rsidR="00724E90">
        <w:t>)</w:t>
      </w:r>
    </w:p>
    <w:p w:rsidR="00163B84" w:rsidRDefault="00163B84" w:rsidP="00BB13CA">
      <w:pPr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393"/>
        <w:gridCol w:w="3394"/>
        <w:gridCol w:w="3394"/>
        <w:gridCol w:w="3394"/>
      </w:tblGrid>
      <w:tr w:rsidR="004365FB" w:rsidTr="00EE6744">
        <w:trPr>
          <w:trHeight w:val="556"/>
          <w:tblHeader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  <w:vAlign w:val="center"/>
          </w:tcPr>
          <w:p w:rsidR="004365FB" w:rsidRPr="0083219B" w:rsidRDefault="004365FB" w:rsidP="0083219B">
            <w:pPr>
              <w:jc w:val="center"/>
              <w:rPr>
                <w:rFonts w:ascii="Tahoma" w:hAnsi="Tahoma"/>
                <w:b/>
                <w:szCs w:val="18"/>
              </w:rPr>
            </w:pPr>
            <w:r w:rsidRPr="0083219B">
              <w:rPr>
                <w:rFonts w:ascii="Tahoma" w:hAnsi="Tahoma"/>
                <w:b/>
                <w:szCs w:val="18"/>
              </w:rPr>
              <w:t>Trial category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  <w:vAlign w:val="center"/>
          </w:tcPr>
          <w:p w:rsidR="004365FB" w:rsidRPr="0083219B" w:rsidRDefault="004365FB" w:rsidP="0083219B">
            <w:pPr>
              <w:jc w:val="center"/>
              <w:rPr>
                <w:rFonts w:ascii="Tahoma" w:hAnsi="Tahoma"/>
                <w:b/>
                <w:szCs w:val="18"/>
              </w:rPr>
            </w:pPr>
            <w:r w:rsidRPr="0083219B">
              <w:rPr>
                <w:rFonts w:ascii="Tahoma" w:hAnsi="Tahoma"/>
                <w:b/>
                <w:szCs w:val="18"/>
              </w:rPr>
              <w:t>What is in scope of EudraCT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  <w:vAlign w:val="center"/>
          </w:tcPr>
          <w:p w:rsidR="004365FB" w:rsidRPr="0083219B" w:rsidRDefault="004365FB" w:rsidP="0083219B">
            <w:pPr>
              <w:jc w:val="center"/>
              <w:rPr>
                <w:rFonts w:ascii="Tahoma" w:hAnsi="Tahoma"/>
                <w:b/>
                <w:szCs w:val="18"/>
              </w:rPr>
            </w:pPr>
            <w:r w:rsidRPr="0083219B">
              <w:rPr>
                <w:rFonts w:ascii="Tahoma" w:hAnsi="Tahoma"/>
                <w:b/>
                <w:szCs w:val="18"/>
              </w:rPr>
              <w:t>Composition of results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  <w:vAlign w:val="center"/>
          </w:tcPr>
          <w:p w:rsidR="004365FB" w:rsidRPr="0083219B" w:rsidRDefault="004365FB" w:rsidP="0083219B">
            <w:pPr>
              <w:jc w:val="center"/>
              <w:rPr>
                <w:rFonts w:ascii="Tahoma" w:hAnsi="Tahoma"/>
                <w:b/>
                <w:szCs w:val="18"/>
              </w:rPr>
            </w:pPr>
            <w:r w:rsidRPr="0083219B">
              <w:rPr>
                <w:rFonts w:ascii="Tahoma" w:hAnsi="Tahoma"/>
                <w:b/>
                <w:szCs w:val="18"/>
              </w:rPr>
              <w:t>Timing of posting</w:t>
            </w:r>
          </w:p>
        </w:tc>
      </w:tr>
      <w:tr w:rsidR="0031386E" w:rsidTr="00EE6744">
        <w:trPr>
          <w:trHeight w:val="1145"/>
        </w:trPr>
        <w:tc>
          <w:tcPr>
            <w:tcW w:w="3393" w:type="dxa"/>
            <w:shd w:val="clear" w:color="auto" w:fill="E1E3F2"/>
            <w:vAlign w:val="center"/>
          </w:tcPr>
          <w:p w:rsidR="0031386E" w:rsidRPr="0083219B" w:rsidRDefault="0031386E" w:rsidP="00547131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Paediatric trials in scope of article 46</w:t>
            </w:r>
            <w:r w:rsidR="00962119">
              <w:rPr>
                <w:rStyle w:val="FootnoteReference"/>
                <w:rFonts w:ascii="Verdana" w:hAnsi="Verdana"/>
              </w:rPr>
              <w:footnoteReference w:id="8"/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31386E" w:rsidRPr="0083219B" w:rsidRDefault="0031386E" w:rsidP="00DC1567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 xml:space="preserve">Paediatric trials </w:t>
            </w:r>
            <w:r w:rsidR="00DC1567">
              <w:rPr>
                <w:rFonts w:ascii="Verdana" w:hAnsi="Verdana"/>
              </w:rPr>
              <w:t>completed</w:t>
            </w:r>
            <w:r w:rsidRPr="0083219B">
              <w:rPr>
                <w:rFonts w:ascii="Verdana" w:hAnsi="Verdana"/>
              </w:rPr>
              <w:t xml:space="preserve"> after 26 January 2007 which involve the use of a medicinal product covered by a</w:t>
            </w:r>
            <w:r w:rsidR="00BF4FF5">
              <w:rPr>
                <w:rFonts w:ascii="Verdana" w:hAnsi="Verdana"/>
              </w:rPr>
              <w:t>n EU</w:t>
            </w:r>
            <w:r w:rsidRPr="0083219B">
              <w:rPr>
                <w:rFonts w:ascii="Verdana" w:hAnsi="Verdana"/>
              </w:rPr>
              <w:t xml:space="preserve"> marketing authorisation and are sponsored by the marketing authorisation holder, whether or not included in an agreed PIP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31386E" w:rsidRPr="0083219B" w:rsidRDefault="0031386E" w:rsidP="0031386E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Full data set mandatory, summary attachment(s) optional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31386E" w:rsidRPr="0083219B" w:rsidRDefault="0031386E" w:rsidP="0031386E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≤ 12 months after finalisation of the programming</w:t>
            </w:r>
            <w:r w:rsidR="00A53290">
              <w:rPr>
                <w:rStyle w:val="FootnoteReference"/>
                <w:rFonts w:ascii="Verdana" w:hAnsi="Verdana"/>
              </w:rPr>
              <w:footnoteReference w:id="9"/>
            </w:r>
          </w:p>
        </w:tc>
      </w:tr>
      <w:tr w:rsidR="00547131" w:rsidTr="00EE6744">
        <w:trPr>
          <w:trHeight w:val="858"/>
        </w:trPr>
        <w:tc>
          <w:tcPr>
            <w:tcW w:w="3393" w:type="dxa"/>
            <w:shd w:val="clear" w:color="auto" w:fill="E1E3F2"/>
            <w:vAlign w:val="center"/>
          </w:tcPr>
          <w:p w:rsidR="00547131" w:rsidRPr="0083219B" w:rsidRDefault="00547131" w:rsidP="00DC1567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Paediatric trials in scope of article 45</w:t>
            </w:r>
            <w:r w:rsidR="00962119">
              <w:rPr>
                <w:rStyle w:val="FootnoteReference"/>
                <w:rFonts w:ascii="Verdana" w:hAnsi="Verdana"/>
              </w:rPr>
              <w:footnoteReference w:id="10"/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547131" w:rsidRPr="0083219B" w:rsidRDefault="00547131" w:rsidP="00DC1567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Paediatric trials</w:t>
            </w:r>
            <w:r w:rsidR="004F6D02">
              <w:rPr>
                <w:rFonts w:ascii="Verdana" w:hAnsi="Verdana"/>
              </w:rPr>
              <w:t xml:space="preserve"> in respect of products covered by an EU marketing authorisation on 26 January 2007,</w:t>
            </w:r>
            <w:r w:rsidRPr="0083219B">
              <w:rPr>
                <w:rFonts w:ascii="Verdana" w:hAnsi="Verdana"/>
              </w:rPr>
              <w:t xml:space="preserve"> completed </w:t>
            </w:r>
            <w:r w:rsidR="00DC1567">
              <w:rPr>
                <w:rFonts w:ascii="Verdana" w:hAnsi="Verdana"/>
              </w:rPr>
              <w:t>by</w:t>
            </w:r>
            <w:r w:rsidR="003674E7">
              <w:rPr>
                <w:rFonts w:ascii="Verdana" w:hAnsi="Verdana"/>
              </w:rPr>
              <w:t xml:space="preserve"> </w:t>
            </w:r>
            <w:r w:rsidRPr="00645B7A">
              <w:rPr>
                <w:rFonts w:ascii="Verdana" w:hAnsi="Verdana"/>
              </w:rPr>
              <w:t>26</w:t>
            </w:r>
            <w:r w:rsidRPr="0083219B">
              <w:rPr>
                <w:rFonts w:ascii="Verdana" w:hAnsi="Verdana"/>
              </w:rPr>
              <w:t xml:space="preserve"> January 2007 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547131" w:rsidRPr="0083219B" w:rsidRDefault="00B850C8" w:rsidP="002C7F6D">
            <w:pPr>
              <w:rPr>
                <w:rFonts w:ascii="Verdana" w:hAnsi="Verdana"/>
              </w:rPr>
            </w:pPr>
            <w:r w:rsidRPr="00B850C8">
              <w:rPr>
                <w:rFonts w:ascii="Verdana" w:hAnsi="Verdana"/>
              </w:rPr>
              <w:t>Summary of study submitted to</w:t>
            </w:r>
            <w:r w:rsidR="0047340F">
              <w:rPr>
                <w:rFonts w:ascii="Verdana" w:hAnsi="Verdana"/>
              </w:rPr>
              <w:t xml:space="preserve"> EMA and uploaded by the Agency for publication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547131" w:rsidRPr="0083219B" w:rsidRDefault="00547131" w:rsidP="00EC0D56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≤ 24 months after finalisation of the programming</w:t>
            </w:r>
            <w:r w:rsidRPr="0083219B">
              <w:rPr>
                <w:rFonts w:ascii="Verdana" w:hAnsi="Verdana"/>
                <w:vertAlign w:val="superscript"/>
              </w:rPr>
              <w:t xml:space="preserve"> </w:t>
            </w:r>
            <w:r w:rsidR="00A53290">
              <w:rPr>
                <w:rStyle w:val="FootnoteReference"/>
                <w:rFonts w:ascii="Verdana" w:hAnsi="Verdana"/>
              </w:rPr>
              <w:footnoteReference w:id="11"/>
            </w:r>
          </w:p>
        </w:tc>
      </w:tr>
      <w:tr w:rsidR="0060688E" w:rsidTr="00EE6744">
        <w:trPr>
          <w:trHeight w:val="858"/>
        </w:trPr>
        <w:tc>
          <w:tcPr>
            <w:tcW w:w="3393" w:type="dxa"/>
            <w:shd w:val="clear" w:color="auto" w:fill="E1E3F2"/>
            <w:vAlign w:val="center"/>
          </w:tcPr>
          <w:p w:rsidR="0060688E" w:rsidRPr="0083219B" w:rsidRDefault="00B473F3" w:rsidP="00B473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60688E" w:rsidRPr="0083219B">
              <w:rPr>
                <w:rFonts w:ascii="Verdana" w:hAnsi="Verdana"/>
              </w:rPr>
              <w:t xml:space="preserve">rials in scope of article 41(1) which </w:t>
            </w:r>
            <w:r w:rsidR="005A255B" w:rsidRPr="0083219B">
              <w:rPr>
                <w:rFonts w:ascii="Verdana" w:hAnsi="Verdana"/>
              </w:rPr>
              <w:t xml:space="preserve">are </w:t>
            </w:r>
            <w:r w:rsidR="0060688E" w:rsidRPr="0083219B">
              <w:rPr>
                <w:rFonts w:ascii="Verdana" w:hAnsi="Verdana"/>
              </w:rPr>
              <w:t>included in an agreed PIP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60688E" w:rsidRPr="00770C0E" w:rsidRDefault="0060688E" w:rsidP="00341783">
            <w:pPr>
              <w:rPr>
                <w:rFonts w:ascii="Verdana" w:hAnsi="Verdana"/>
              </w:rPr>
            </w:pPr>
            <w:r w:rsidRPr="00770C0E">
              <w:rPr>
                <w:rFonts w:ascii="Verdana" w:hAnsi="Verdana"/>
              </w:rPr>
              <w:t>Paediatric</w:t>
            </w:r>
            <w:r w:rsidR="00B473F3" w:rsidRPr="00770C0E">
              <w:rPr>
                <w:rFonts w:ascii="Verdana" w:hAnsi="Verdana"/>
              </w:rPr>
              <w:t xml:space="preserve"> and non-paediatric trials </w:t>
            </w:r>
            <w:r w:rsidRPr="00770C0E">
              <w:rPr>
                <w:rFonts w:ascii="Verdana" w:hAnsi="Verdana"/>
              </w:rPr>
              <w:t>included in an agreed PIP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60688E" w:rsidRPr="00770C0E" w:rsidRDefault="0060688E" w:rsidP="0060688E">
            <w:pPr>
              <w:rPr>
                <w:rFonts w:ascii="Verdana" w:hAnsi="Verdana"/>
              </w:rPr>
            </w:pPr>
            <w:r w:rsidRPr="00770C0E">
              <w:rPr>
                <w:rFonts w:ascii="Verdana" w:hAnsi="Verdana"/>
              </w:rPr>
              <w:t>Full data set mandatory, summary attachment(s) optional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60688E" w:rsidRPr="0083219B" w:rsidRDefault="0060688E" w:rsidP="0060688E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≤ 12 months after finalisation of the programming</w:t>
            </w:r>
            <w:r w:rsidR="00A53290">
              <w:rPr>
                <w:rStyle w:val="FootnoteReference"/>
                <w:rFonts w:ascii="Verdana" w:hAnsi="Verdana"/>
              </w:rPr>
              <w:footnoteReference w:id="12"/>
            </w:r>
          </w:p>
        </w:tc>
      </w:tr>
      <w:tr w:rsidR="005A255B" w:rsidTr="00EE6744">
        <w:trPr>
          <w:trHeight w:val="858"/>
        </w:trPr>
        <w:tc>
          <w:tcPr>
            <w:tcW w:w="3393" w:type="dxa"/>
            <w:shd w:val="clear" w:color="auto" w:fill="E1E3F2"/>
            <w:vAlign w:val="center"/>
          </w:tcPr>
          <w:p w:rsidR="005A255B" w:rsidRPr="0083219B" w:rsidRDefault="005A255B" w:rsidP="0049061D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lastRenderedPageBreak/>
              <w:t xml:space="preserve">Other trials </w:t>
            </w:r>
            <w:r w:rsidR="00833311" w:rsidRPr="0083219B">
              <w:rPr>
                <w:rFonts w:ascii="Verdana" w:hAnsi="Verdana"/>
              </w:rPr>
              <w:t>(</w:t>
            </w:r>
            <w:r w:rsidR="00A53290">
              <w:rPr>
                <w:rFonts w:ascii="Verdana" w:hAnsi="Verdana"/>
              </w:rPr>
              <w:t xml:space="preserve">where </w:t>
            </w:r>
            <w:r w:rsidR="00833311" w:rsidRPr="0083219B">
              <w:rPr>
                <w:rFonts w:ascii="Verdana" w:hAnsi="Verdana"/>
              </w:rPr>
              <w:t xml:space="preserve">regulated by Directive 2001/20/EC) </w:t>
            </w:r>
            <w:r w:rsidRPr="0083219B">
              <w:rPr>
                <w:rFonts w:ascii="Verdana" w:hAnsi="Verdana"/>
              </w:rPr>
              <w:t>that ended &lt; 1 year prior to the finalisation of the programming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5A255B" w:rsidRPr="0083219B" w:rsidRDefault="0049061D" w:rsidP="000A39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 trials conducted in at least one EEA country 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5A255B" w:rsidRPr="0083219B" w:rsidRDefault="005A255B" w:rsidP="005A255B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Full data set mandatory, summary attachment(s) optional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5A255B" w:rsidRPr="0083219B" w:rsidRDefault="005A255B" w:rsidP="005A255B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≤ 12 months after finalisation of the programming</w:t>
            </w:r>
            <w:r w:rsidR="00A53290">
              <w:rPr>
                <w:rStyle w:val="FootnoteReference"/>
                <w:rFonts w:ascii="Verdana" w:hAnsi="Verdana"/>
              </w:rPr>
              <w:footnoteReference w:id="13"/>
            </w:r>
          </w:p>
        </w:tc>
      </w:tr>
      <w:tr w:rsidR="00FA2195" w:rsidTr="00EE6744">
        <w:trPr>
          <w:trHeight w:val="858"/>
        </w:trPr>
        <w:tc>
          <w:tcPr>
            <w:tcW w:w="3393" w:type="dxa"/>
            <w:shd w:val="clear" w:color="auto" w:fill="E1E3F2"/>
            <w:vAlign w:val="center"/>
          </w:tcPr>
          <w:p w:rsidR="00FA2195" w:rsidRPr="0083219B" w:rsidRDefault="00FA2195" w:rsidP="0049061D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 xml:space="preserve">Other trials </w:t>
            </w:r>
            <w:r w:rsidR="00833311" w:rsidRPr="0083219B">
              <w:rPr>
                <w:rFonts w:ascii="Verdana" w:hAnsi="Verdana"/>
              </w:rPr>
              <w:t>(</w:t>
            </w:r>
            <w:r w:rsidR="00A53290">
              <w:rPr>
                <w:rFonts w:ascii="Verdana" w:hAnsi="Verdana"/>
              </w:rPr>
              <w:t xml:space="preserve">where </w:t>
            </w:r>
            <w:r w:rsidR="00833311" w:rsidRPr="0083219B">
              <w:rPr>
                <w:rFonts w:ascii="Verdana" w:hAnsi="Verdana"/>
              </w:rPr>
              <w:t xml:space="preserve">regulated by Directive 2001/20/EC) </w:t>
            </w:r>
            <w:r w:rsidRPr="0083219B">
              <w:rPr>
                <w:rFonts w:ascii="Verdana" w:hAnsi="Verdana"/>
              </w:rPr>
              <w:t>that ended ≥ 1 year prior to the finalisation of the programming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FA2195" w:rsidRPr="0083219B" w:rsidRDefault="000A39DE" w:rsidP="000A39DE">
            <w:pPr>
              <w:rPr>
                <w:rFonts w:ascii="Verdana" w:hAnsi="Verdana"/>
              </w:rPr>
            </w:pPr>
            <w:r w:rsidRPr="000A39DE">
              <w:rPr>
                <w:rFonts w:ascii="Verdana" w:hAnsi="Verdana"/>
              </w:rPr>
              <w:t xml:space="preserve">All trials conducted in at least one EEA country </w:t>
            </w:r>
            <w:r w:rsidR="002B1D7D">
              <w:rPr>
                <w:rFonts w:ascii="Verdana" w:hAnsi="Verdana"/>
              </w:rPr>
              <w:t xml:space="preserve">marketing authorisation holder-sponsored </w:t>
            </w:r>
            <w:r w:rsidR="00FA2195" w:rsidRPr="0083219B">
              <w:rPr>
                <w:rFonts w:ascii="Verdana" w:hAnsi="Verdana"/>
              </w:rPr>
              <w:t>and not included in an agreed PIP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FA2195" w:rsidRPr="0083219B" w:rsidRDefault="00FA2195" w:rsidP="0083219B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Full data set or summary attachment(s) or both</w:t>
            </w:r>
          </w:p>
        </w:tc>
        <w:tc>
          <w:tcPr>
            <w:tcW w:w="3394" w:type="dxa"/>
            <w:shd w:val="clear" w:color="auto" w:fill="E1E3F2"/>
            <w:vAlign w:val="center"/>
          </w:tcPr>
          <w:p w:rsidR="00FA2195" w:rsidRPr="0083219B" w:rsidRDefault="00FA2195" w:rsidP="0083219B">
            <w:pPr>
              <w:rPr>
                <w:rFonts w:ascii="Verdana" w:hAnsi="Verdana"/>
              </w:rPr>
            </w:pPr>
            <w:r w:rsidRPr="0083219B">
              <w:rPr>
                <w:rFonts w:ascii="Verdana" w:hAnsi="Verdana"/>
              </w:rPr>
              <w:t>≤ 24 months after finalisation of the programming</w:t>
            </w:r>
            <w:r w:rsidR="00A53290">
              <w:rPr>
                <w:rStyle w:val="FootnoteReference"/>
                <w:rFonts w:ascii="Verdana" w:hAnsi="Verdana"/>
              </w:rPr>
              <w:footnoteReference w:id="14"/>
            </w:r>
          </w:p>
        </w:tc>
      </w:tr>
    </w:tbl>
    <w:p w:rsidR="00EB5B1F" w:rsidRPr="006D7C49" w:rsidRDefault="00EB5B1F" w:rsidP="000A39DE">
      <w:pPr>
        <w:rPr>
          <w:rFonts w:ascii="Verdana" w:hAnsi="Verdana"/>
          <w:color w:val="00B050"/>
          <w:sz w:val="18"/>
          <w:szCs w:val="18"/>
        </w:rPr>
      </w:pPr>
    </w:p>
    <w:sectPr w:rsidR="00EB5B1F" w:rsidRPr="006D7C49" w:rsidSect="00EE6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47" w:right="1418" w:bottom="1247" w:left="1418" w:header="28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06" w:rsidRDefault="00AC4606" w:rsidP="00B81056">
      <w:r>
        <w:separator/>
      </w:r>
    </w:p>
  </w:endnote>
  <w:endnote w:type="continuationSeparator" w:id="0">
    <w:p w:rsidR="00AC4606" w:rsidRDefault="00AC4606" w:rsidP="00B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70" w:rsidRDefault="00384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8A" w:rsidRDefault="001B7C8A">
    <w:pPr>
      <w:pStyle w:val="Footer"/>
    </w:pPr>
  </w:p>
  <w:p w:rsidR="001B7C8A" w:rsidRDefault="001B7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70" w:rsidRDefault="00384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06" w:rsidRDefault="00AC4606" w:rsidP="00B81056">
      <w:r>
        <w:separator/>
      </w:r>
    </w:p>
  </w:footnote>
  <w:footnote w:type="continuationSeparator" w:id="0">
    <w:p w:rsidR="00AC4606" w:rsidRDefault="00AC4606" w:rsidP="00B81056">
      <w:r>
        <w:continuationSeparator/>
      </w:r>
    </w:p>
  </w:footnote>
  <w:footnote w:id="1">
    <w:p w:rsidR="001B7C8A" w:rsidRPr="00F8441C" w:rsidRDefault="001B7C8A">
      <w:pPr>
        <w:pStyle w:val="FootnoteText"/>
        <w:rPr>
          <w:rFonts w:ascii="Verdana" w:hAnsi="Verdana"/>
          <w:sz w:val="16"/>
          <w:szCs w:val="16"/>
        </w:rPr>
      </w:pPr>
      <w:r w:rsidRPr="003B63CF">
        <w:rPr>
          <w:rStyle w:val="FootnoteReference"/>
          <w:rFonts w:ascii="Verdana" w:hAnsi="Verdana"/>
          <w:sz w:val="16"/>
          <w:szCs w:val="16"/>
        </w:rPr>
        <w:footnoteRef/>
      </w:r>
      <w:r w:rsidRPr="003B63CF">
        <w:rPr>
          <w:rFonts w:ascii="Verdana" w:hAnsi="Verdana"/>
          <w:sz w:val="16"/>
          <w:szCs w:val="16"/>
        </w:rPr>
        <w:t xml:space="preserve"> </w:t>
      </w:r>
      <w:r w:rsidRPr="00F8441C">
        <w:rPr>
          <w:rFonts w:ascii="Verdana" w:hAnsi="Verdana"/>
          <w:sz w:val="16"/>
          <w:szCs w:val="16"/>
        </w:rPr>
        <w:t>Commission Guideline 2012/C 302/03 para 4.3</w:t>
      </w:r>
    </w:p>
  </w:footnote>
  <w:footnote w:id="2">
    <w:p w:rsidR="005C4176" w:rsidRPr="00F8441C" w:rsidRDefault="005C4176" w:rsidP="005C4176">
      <w:pPr>
        <w:pStyle w:val="FootnoteText"/>
        <w:rPr>
          <w:rFonts w:ascii="Verdana" w:hAnsi="Verdana"/>
          <w:sz w:val="16"/>
          <w:szCs w:val="16"/>
        </w:rPr>
      </w:pPr>
      <w:r w:rsidRPr="00F8441C">
        <w:rPr>
          <w:rStyle w:val="FootnoteReference"/>
          <w:rFonts w:ascii="Verdana" w:hAnsi="Verdana"/>
          <w:sz w:val="16"/>
          <w:szCs w:val="16"/>
        </w:rPr>
        <w:footnoteRef/>
      </w:r>
      <w:r w:rsidRPr="00F8441C">
        <w:rPr>
          <w:rFonts w:ascii="Verdana" w:hAnsi="Verdana"/>
          <w:sz w:val="16"/>
          <w:szCs w:val="16"/>
        </w:rPr>
        <w:t xml:space="preserve"> A paediatric trial is a trial that includes at least one participant &lt; 18 years of age</w:t>
      </w:r>
    </w:p>
  </w:footnote>
  <w:footnote w:id="3">
    <w:p w:rsidR="00F8441C" w:rsidRPr="00F8441C" w:rsidRDefault="00F8441C">
      <w:pPr>
        <w:pStyle w:val="FootnoteText"/>
        <w:rPr>
          <w:rFonts w:ascii="Verdana" w:hAnsi="Verdana"/>
          <w:sz w:val="16"/>
          <w:szCs w:val="16"/>
        </w:rPr>
      </w:pPr>
      <w:r w:rsidRPr="00F8441C">
        <w:rPr>
          <w:rStyle w:val="FootnoteReference"/>
          <w:rFonts w:ascii="Verdana" w:hAnsi="Verdana"/>
          <w:sz w:val="16"/>
          <w:szCs w:val="16"/>
        </w:rPr>
        <w:footnoteRef/>
      </w:r>
      <w:r w:rsidRPr="00F8441C">
        <w:rPr>
          <w:rFonts w:ascii="Verdana" w:hAnsi="Verdana"/>
          <w:sz w:val="16"/>
          <w:szCs w:val="16"/>
        </w:rPr>
        <w:t xml:space="preserve"> Art 46(1) of Regulation (EC) No 1901/2006 of the European Parliament and of the Council of 12 December 2006 on medicinal products for paediatric use (2006) Official Journal of the European Communities L 378/1</w:t>
      </w:r>
    </w:p>
  </w:footnote>
  <w:footnote w:id="4">
    <w:p w:rsidR="00F8441C" w:rsidRDefault="00F8441C">
      <w:pPr>
        <w:pStyle w:val="FootnoteText"/>
      </w:pPr>
      <w:r w:rsidRPr="00F8441C">
        <w:rPr>
          <w:rStyle w:val="FootnoteReference"/>
          <w:rFonts w:ascii="Verdana" w:hAnsi="Verdana"/>
          <w:sz w:val="16"/>
          <w:szCs w:val="16"/>
        </w:rPr>
        <w:footnoteRef/>
      </w:r>
      <w:r w:rsidRPr="00F8441C">
        <w:rPr>
          <w:rFonts w:ascii="Verdana" w:hAnsi="Verdana"/>
          <w:sz w:val="16"/>
          <w:szCs w:val="16"/>
        </w:rPr>
        <w:t xml:space="preserve"> Commission Guideline 2009/C 28/01 para 2.2.2</w:t>
      </w:r>
    </w:p>
  </w:footnote>
  <w:footnote w:id="5">
    <w:p w:rsidR="001B7C8A" w:rsidRPr="003B63CF" w:rsidRDefault="001B7C8A">
      <w:pPr>
        <w:pStyle w:val="FootnoteText"/>
        <w:rPr>
          <w:rFonts w:ascii="Verdana" w:hAnsi="Verdana"/>
          <w:sz w:val="16"/>
          <w:szCs w:val="16"/>
        </w:rPr>
      </w:pPr>
      <w:r w:rsidRPr="003B63CF">
        <w:rPr>
          <w:rStyle w:val="FootnoteReference"/>
          <w:rFonts w:ascii="Verdana" w:hAnsi="Verdana"/>
          <w:sz w:val="16"/>
          <w:szCs w:val="16"/>
        </w:rPr>
        <w:footnoteRef/>
      </w:r>
      <w:r w:rsidRPr="003B63CF">
        <w:rPr>
          <w:rFonts w:ascii="Verdana" w:hAnsi="Verdana"/>
          <w:sz w:val="16"/>
          <w:szCs w:val="16"/>
        </w:rPr>
        <w:t xml:space="preserve"> Commission Guideline 2009/C 28/01 para 2.2.2</w:t>
      </w:r>
    </w:p>
  </w:footnote>
  <w:footnote w:id="6">
    <w:p w:rsidR="001B7C8A" w:rsidRPr="003B63CF" w:rsidRDefault="001B7C8A">
      <w:pPr>
        <w:pStyle w:val="FootnoteText"/>
        <w:rPr>
          <w:rFonts w:ascii="Verdana" w:hAnsi="Verdana"/>
          <w:sz w:val="16"/>
          <w:szCs w:val="16"/>
        </w:rPr>
      </w:pPr>
      <w:r w:rsidRPr="003B63CF">
        <w:rPr>
          <w:rStyle w:val="FootnoteReference"/>
          <w:rFonts w:ascii="Verdana" w:hAnsi="Verdana"/>
          <w:sz w:val="16"/>
          <w:szCs w:val="16"/>
        </w:rPr>
        <w:footnoteRef/>
      </w:r>
      <w:r w:rsidRPr="003B63CF">
        <w:rPr>
          <w:rFonts w:ascii="Verdana" w:hAnsi="Verdana"/>
          <w:sz w:val="16"/>
          <w:szCs w:val="16"/>
        </w:rPr>
        <w:t xml:space="preserve"> Commission Guideline 2009/C 28/01 para 2.2.2</w:t>
      </w:r>
    </w:p>
  </w:footnote>
  <w:footnote w:id="7">
    <w:p w:rsidR="001B7C8A" w:rsidRPr="003B63CF" w:rsidRDefault="001B7C8A" w:rsidP="00612402">
      <w:pPr>
        <w:pStyle w:val="FootnoteText"/>
        <w:rPr>
          <w:rFonts w:ascii="Verdana" w:hAnsi="Verdana"/>
          <w:sz w:val="16"/>
          <w:szCs w:val="16"/>
        </w:rPr>
      </w:pPr>
      <w:r w:rsidRPr="003B63CF">
        <w:rPr>
          <w:rStyle w:val="FootnoteReference"/>
          <w:rFonts w:ascii="Verdana" w:hAnsi="Verdana"/>
          <w:sz w:val="16"/>
          <w:szCs w:val="16"/>
        </w:rPr>
        <w:footnoteRef/>
      </w:r>
      <w:r w:rsidRPr="003B63CF">
        <w:rPr>
          <w:rFonts w:ascii="Verdana" w:hAnsi="Verdana"/>
          <w:sz w:val="16"/>
          <w:szCs w:val="16"/>
        </w:rPr>
        <w:t xml:space="preserve"> Commission Guideline 2012/C 302/03 para 4.3</w:t>
      </w:r>
    </w:p>
  </w:footnote>
  <w:footnote w:id="8">
    <w:p w:rsidR="00962119" w:rsidRDefault="009621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441C">
        <w:rPr>
          <w:rFonts w:ascii="Verdana" w:hAnsi="Verdana"/>
          <w:sz w:val="16"/>
          <w:szCs w:val="16"/>
        </w:rPr>
        <w:t>Art 46(1) of Regulation (EC) No 1901/2006 of the European Parliament and of the Council of 12 December 2006 on medicinal products for paediatric use (2006) Official Journal of the European Communities L 378/1</w:t>
      </w:r>
    </w:p>
  </w:footnote>
  <w:footnote w:id="9">
    <w:p w:rsidR="001B7C8A" w:rsidRPr="003B63CF" w:rsidRDefault="001B7C8A">
      <w:pPr>
        <w:pStyle w:val="FootnoteText"/>
        <w:rPr>
          <w:rFonts w:ascii="Verdana" w:hAnsi="Verdana"/>
          <w:sz w:val="16"/>
          <w:szCs w:val="16"/>
        </w:rPr>
      </w:pPr>
      <w:r w:rsidRPr="003B63CF">
        <w:rPr>
          <w:rStyle w:val="FootnoteReference"/>
          <w:rFonts w:ascii="Verdana" w:hAnsi="Verdana"/>
          <w:sz w:val="16"/>
          <w:szCs w:val="16"/>
        </w:rPr>
        <w:footnoteRef/>
      </w:r>
      <w:r w:rsidRPr="003B63CF">
        <w:rPr>
          <w:rFonts w:ascii="Verdana" w:hAnsi="Verdana"/>
          <w:sz w:val="16"/>
          <w:szCs w:val="16"/>
        </w:rPr>
        <w:t xml:space="preserve"> Commission Guideline 2012/C 302/03 para 4.6.2, second subparagraph</w:t>
      </w:r>
    </w:p>
  </w:footnote>
  <w:footnote w:id="10">
    <w:p w:rsidR="00962119" w:rsidRDefault="009621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Art 45</w:t>
      </w:r>
      <w:r w:rsidRPr="00F8441C">
        <w:rPr>
          <w:rFonts w:ascii="Verdana" w:hAnsi="Verdana"/>
          <w:sz w:val="16"/>
          <w:szCs w:val="16"/>
        </w:rPr>
        <w:t>(1) of Regulation (EC) No 1901/2006 of the European Parliament and of the Council of 12 December 2006 on medicinal products for paediatric use (2006) Official Journal of the European Communities L 378/1</w:t>
      </w:r>
    </w:p>
  </w:footnote>
  <w:footnote w:id="11">
    <w:p w:rsidR="001B7C8A" w:rsidRPr="003B63CF" w:rsidRDefault="001B7C8A">
      <w:pPr>
        <w:pStyle w:val="FootnoteText"/>
        <w:rPr>
          <w:rFonts w:ascii="Verdana" w:hAnsi="Verdana"/>
          <w:sz w:val="16"/>
          <w:szCs w:val="16"/>
        </w:rPr>
      </w:pPr>
      <w:r w:rsidRPr="003B63CF">
        <w:rPr>
          <w:rStyle w:val="FootnoteReference"/>
          <w:rFonts w:ascii="Verdana" w:hAnsi="Verdana"/>
          <w:sz w:val="16"/>
          <w:szCs w:val="16"/>
        </w:rPr>
        <w:footnoteRef/>
      </w:r>
      <w:r w:rsidRPr="003B63CF">
        <w:rPr>
          <w:rFonts w:ascii="Verdana" w:hAnsi="Verdana"/>
          <w:sz w:val="16"/>
          <w:szCs w:val="16"/>
        </w:rPr>
        <w:t xml:space="preserve"> Commission Guideline 2012/C 302/03 para 4.6.2, first subparagraph</w:t>
      </w:r>
    </w:p>
  </w:footnote>
  <w:footnote w:id="12">
    <w:p w:rsidR="001B7C8A" w:rsidRPr="003B63CF" w:rsidRDefault="001B7C8A">
      <w:pPr>
        <w:pStyle w:val="FootnoteText"/>
        <w:rPr>
          <w:rFonts w:ascii="Verdana" w:hAnsi="Verdana"/>
          <w:sz w:val="16"/>
          <w:szCs w:val="16"/>
        </w:rPr>
      </w:pPr>
      <w:r w:rsidRPr="003B63CF">
        <w:rPr>
          <w:rStyle w:val="FootnoteReference"/>
          <w:rFonts w:ascii="Verdana" w:hAnsi="Verdana"/>
          <w:sz w:val="16"/>
          <w:szCs w:val="16"/>
        </w:rPr>
        <w:footnoteRef/>
      </w:r>
      <w:r w:rsidRPr="003B63CF">
        <w:rPr>
          <w:rFonts w:ascii="Verdana" w:hAnsi="Verdana"/>
          <w:sz w:val="16"/>
          <w:szCs w:val="16"/>
        </w:rPr>
        <w:t xml:space="preserve"> Commission Guideline 2012/C 302/03 para 4.6.2, second subparagraph</w:t>
      </w:r>
    </w:p>
  </w:footnote>
  <w:footnote w:id="13">
    <w:p w:rsidR="001B7C8A" w:rsidRPr="003B63CF" w:rsidRDefault="001B7C8A">
      <w:pPr>
        <w:pStyle w:val="FootnoteText"/>
        <w:rPr>
          <w:rFonts w:ascii="Verdana" w:hAnsi="Verdana"/>
          <w:sz w:val="16"/>
          <w:szCs w:val="16"/>
        </w:rPr>
      </w:pPr>
      <w:r w:rsidRPr="003B63CF">
        <w:rPr>
          <w:rStyle w:val="FootnoteReference"/>
          <w:rFonts w:ascii="Verdana" w:hAnsi="Verdana"/>
          <w:sz w:val="16"/>
          <w:szCs w:val="16"/>
        </w:rPr>
        <w:footnoteRef/>
      </w:r>
      <w:r w:rsidRPr="003B63CF">
        <w:rPr>
          <w:rFonts w:ascii="Verdana" w:hAnsi="Verdana"/>
          <w:sz w:val="16"/>
          <w:szCs w:val="16"/>
        </w:rPr>
        <w:t xml:space="preserve"> Commission Guideline 2012/C 302/03 para 4.6.1, first subparagraph</w:t>
      </w:r>
    </w:p>
  </w:footnote>
  <w:footnote w:id="14">
    <w:p w:rsidR="001B7C8A" w:rsidRPr="003B63CF" w:rsidRDefault="001B7C8A">
      <w:pPr>
        <w:pStyle w:val="FootnoteText"/>
        <w:rPr>
          <w:rFonts w:ascii="Verdana" w:hAnsi="Verdana"/>
          <w:sz w:val="16"/>
          <w:szCs w:val="16"/>
        </w:rPr>
      </w:pPr>
      <w:r w:rsidRPr="003B63CF">
        <w:rPr>
          <w:rStyle w:val="FootnoteReference"/>
          <w:rFonts w:ascii="Verdana" w:hAnsi="Verdana"/>
          <w:sz w:val="16"/>
          <w:szCs w:val="16"/>
        </w:rPr>
        <w:footnoteRef/>
      </w:r>
      <w:r w:rsidRPr="003B63CF">
        <w:rPr>
          <w:rFonts w:ascii="Verdana" w:hAnsi="Verdana"/>
          <w:sz w:val="16"/>
          <w:szCs w:val="16"/>
        </w:rPr>
        <w:t xml:space="preserve"> Commission Guideline 2012/C 302/03 para 4.6.1, second subparagraph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70" w:rsidRDefault="00384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70" w:rsidRDefault="003844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70" w:rsidRDefault="00384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D2A265C"/>
    <w:multiLevelType w:val="multilevel"/>
    <w:tmpl w:val="A02E932A"/>
    <w:numStyleLink w:val="BulletsAgency"/>
  </w:abstractNum>
  <w:abstractNum w:abstractNumId="4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5"/>
  </w:num>
  <w:num w:numId="15">
    <w:abstractNumId w:val="2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3278BF"/>
    <w:rsid w:val="000074A0"/>
    <w:rsid w:val="0000776C"/>
    <w:rsid w:val="00057352"/>
    <w:rsid w:val="000604FF"/>
    <w:rsid w:val="000A39DE"/>
    <w:rsid w:val="000A4D24"/>
    <w:rsid w:val="000A59A3"/>
    <w:rsid w:val="000D09D8"/>
    <w:rsid w:val="000D12CA"/>
    <w:rsid w:val="000E0945"/>
    <w:rsid w:val="000F4E26"/>
    <w:rsid w:val="00107F2A"/>
    <w:rsid w:val="00124F4A"/>
    <w:rsid w:val="0013253B"/>
    <w:rsid w:val="00145D8A"/>
    <w:rsid w:val="00161479"/>
    <w:rsid w:val="00163B84"/>
    <w:rsid w:val="0016401F"/>
    <w:rsid w:val="0018511A"/>
    <w:rsid w:val="00195347"/>
    <w:rsid w:val="001A568D"/>
    <w:rsid w:val="001A780F"/>
    <w:rsid w:val="001B7C8A"/>
    <w:rsid w:val="001D5F74"/>
    <w:rsid w:val="001E3B83"/>
    <w:rsid w:val="002039D4"/>
    <w:rsid w:val="00221D38"/>
    <w:rsid w:val="002573BD"/>
    <w:rsid w:val="002B1D7D"/>
    <w:rsid w:val="002C7F6D"/>
    <w:rsid w:val="0031386E"/>
    <w:rsid w:val="0031419D"/>
    <w:rsid w:val="003278BF"/>
    <w:rsid w:val="003279C7"/>
    <w:rsid w:val="0033636B"/>
    <w:rsid w:val="00341783"/>
    <w:rsid w:val="003674E7"/>
    <w:rsid w:val="00384470"/>
    <w:rsid w:val="003950E2"/>
    <w:rsid w:val="003B1A7D"/>
    <w:rsid w:val="003B63CF"/>
    <w:rsid w:val="003C7D72"/>
    <w:rsid w:val="003E26E7"/>
    <w:rsid w:val="003F1CD5"/>
    <w:rsid w:val="003F38CB"/>
    <w:rsid w:val="004049D1"/>
    <w:rsid w:val="0042095B"/>
    <w:rsid w:val="004314F9"/>
    <w:rsid w:val="004326FD"/>
    <w:rsid w:val="00434795"/>
    <w:rsid w:val="004365FB"/>
    <w:rsid w:val="004714FD"/>
    <w:rsid w:val="0047340F"/>
    <w:rsid w:val="00477A3C"/>
    <w:rsid w:val="0049061D"/>
    <w:rsid w:val="0049602D"/>
    <w:rsid w:val="004B624D"/>
    <w:rsid w:val="004C524C"/>
    <w:rsid w:val="004C6876"/>
    <w:rsid w:val="004D46EB"/>
    <w:rsid w:val="004F0EDC"/>
    <w:rsid w:val="004F6D02"/>
    <w:rsid w:val="004F6EEC"/>
    <w:rsid w:val="0050167C"/>
    <w:rsid w:val="0050387E"/>
    <w:rsid w:val="00514FD8"/>
    <w:rsid w:val="00543125"/>
    <w:rsid w:val="00547131"/>
    <w:rsid w:val="00572AB4"/>
    <w:rsid w:val="005775B2"/>
    <w:rsid w:val="00591614"/>
    <w:rsid w:val="005A255B"/>
    <w:rsid w:val="005A273F"/>
    <w:rsid w:val="005A401C"/>
    <w:rsid w:val="005B3E4C"/>
    <w:rsid w:val="005B482A"/>
    <w:rsid w:val="005C4176"/>
    <w:rsid w:val="005C7466"/>
    <w:rsid w:val="0060688E"/>
    <w:rsid w:val="00612402"/>
    <w:rsid w:val="00637445"/>
    <w:rsid w:val="00645B7A"/>
    <w:rsid w:val="006479CC"/>
    <w:rsid w:val="006505E1"/>
    <w:rsid w:val="0065415C"/>
    <w:rsid w:val="006830B9"/>
    <w:rsid w:val="006977AE"/>
    <w:rsid w:val="006D7C49"/>
    <w:rsid w:val="006E121D"/>
    <w:rsid w:val="006E1DB8"/>
    <w:rsid w:val="006E2F4C"/>
    <w:rsid w:val="006E34CB"/>
    <w:rsid w:val="00720465"/>
    <w:rsid w:val="00724E90"/>
    <w:rsid w:val="00733840"/>
    <w:rsid w:val="00735EE4"/>
    <w:rsid w:val="00753A91"/>
    <w:rsid w:val="00757655"/>
    <w:rsid w:val="00770C0E"/>
    <w:rsid w:val="00781D68"/>
    <w:rsid w:val="00782C9D"/>
    <w:rsid w:val="00786B6E"/>
    <w:rsid w:val="007A3AB4"/>
    <w:rsid w:val="007C2FF3"/>
    <w:rsid w:val="007C3BD5"/>
    <w:rsid w:val="0080301F"/>
    <w:rsid w:val="00804A00"/>
    <w:rsid w:val="0083219B"/>
    <w:rsid w:val="00833311"/>
    <w:rsid w:val="00865562"/>
    <w:rsid w:val="008B4E9B"/>
    <w:rsid w:val="008E0098"/>
    <w:rsid w:val="008E54DB"/>
    <w:rsid w:val="008E7CEB"/>
    <w:rsid w:val="00900C21"/>
    <w:rsid w:val="00934EDF"/>
    <w:rsid w:val="00943507"/>
    <w:rsid w:val="0095588F"/>
    <w:rsid w:val="00962119"/>
    <w:rsid w:val="00965B52"/>
    <w:rsid w:val="009C48CC"/>
    <w:rsid w:val="009C6115"/>
    <w:rsid w:val="009F3E7A"/>
    <w:rsid w:val="00A1447E"/>
    <w:rsid w:val="00A32372"/>
    <w:rsid w:val="00A53290"/>
    <w:rsid w:val="00A75931"/>
    <w:rsid w:val="00A85FB9"/>
    <w:rsid w:val="00A93866"/>
    <w:rsid w:val="00A9482A"/>
    <w:rsid w:val="00AA2297"/>
    <w:rsid w:val="00AC2694"/>
    <w:rsid w:val="00AC2E8D"/>
    <w:rsid w:val="00AC4606"/>
    <w:rsid w:val="00AC7A70"/>
    <w:rsid w:val="00B01AB0"/>
    <w:rsid w:val="00B07FA2"/>
    <w:rsid w:val="00B155C4"/>
    <w:rsid w:val="00B15D40"/>
    <w:rsid w:val="00B40A7F"/>
    <w:rsid w:val="00B473F3"/>
    <w:rsid w:val="00B57DC3"/>
    <w:rsid w:val="00B60E9D"/>
    <w:rsid w:val="00B81056"/>
    <w:rsid w:val="00B850C8"/>
    <w:rsid w:val="00B87000"/>
    <w:rsid w:val="00BA60A3"/>
    <w:rsid w:val="00BB13CA"/>
    <w:rsid w:val="00BB44AD"/>
    <w:rsid w:val="00BB4678"/>
    <w:rsid w:val="00BC08F2"/>
    <w:rsid w:val="00BC7233"/>
    <w:rsid w:val="00BE0C1E"/>
    <w:rsid w:val="00BF4FF5"/>
    <w:rsid w:val="00C00D79"/>
    <w:rsid w:val="00C023F0"/>
    <w:rsid w:val="00C0241C"/>
    <w:rsid w:val="00C142EC"/>
    <w:rsid w:val="00C3516E"/>
    <w:rsid w:val="00C56102"/>
    <w:rsid w:val="00C571B2"/>
    <w:rsid w:val="00C959BF"/>
    <w:rsid w:val="00CA4B5A"/>
    <w:rsid w:val="00CD4164"/>
    <w:rsid w:val="00D06F4D"/>
    <w:rsid w:val="00D13B27"/>
    <w:rsid w:val="00D1645A"/>
    <w:rsid w:val="00D2566B"/>
    <w:rsid w:val="00D35A58"/>
    <w:rsid w:val="00DB7694"/>
    <w:rsid w:val="00DC1567"/>
    <w:rsid w:val="00DD23D9"/>
    <w:rsid w:val="00DE370B"/>
    <w:rsid w:val="00DF0541"/>
    <w:rsid w:val="00DF566B"/>
    <w:rsid w:val="00E05DA7"/>
    <w:rsid w:val="00E075D3"/>
    <w:rsid w:val="00E25D81"/>
    <w:rsid w:val="00E36A82"/>
    <w:rsid w:val="00E45F77"/>
    <w:rsid w:val="00E558DA"/>
    <w:rsid w:val="00E67E27"/>
    <w:rsid w:val="00E86473"/>
    <w:rsid w:val="00EB5B1F"/>
    <w:rsid w:val="00EB6CC4"/>
    <w:rsid w:val="00EC0D56"/>
    <w:rsid w:val="00EC6F6E"/>
    <w:rsid w:val="00EE6744"/>
    <w:rsid w:val="00EF0756"/>
    <w:rsid w:val="00F22DD3"/>
    <w:rsid w:val="00F30B0B"/>
    <w:rsid w:val="00F82DFD"/>
    <w:rsid w:val="00F8441C"/>
    <w:rsid w:val="00F97C55"/>
    <w:rsid w:val="00FA2195"/>
    <w:rsid w:val="00FA54BB"/>
    <w:rsid w:val="00FD3666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107F2A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107F2A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Normal"/>
    <w:next w:val="BodytextAgency"/>
    <w:qFormat/>
    <w:rsid w:val="00107F2A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107F2A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107F2A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ahoma" w:hAnsi="Tahom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107F2A"/>
    <w:pPr>
      <w:keepNext/>
      <w:numPr>
        <w:numId w:val="20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107F2A"/>
    <w:pPr>
      <w:keepNext/>
      <w:numPr>
        <w:ilvl w:val="1"/>
        <w:numId w:val="20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107F2A"/>
    <w:pPr>
      <w:keepNext/>
      <w:numPr>
        <w:ilvl w:val="2"/>
        <w:numId w:val="20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107F2A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07F2A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07F2A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107F2A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107F2A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107F2A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07F2A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07F2A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107F2A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107F2A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107F2A"/>
    <w:rPr>
      <w:rFonts w:ascii="Verdana" w:eastAsia="Times New Roman" w:hAnsi="Verdana"/>
      <w:color w:val="FF0000"/>
      <w:sz w:val="17"/>
      <w:szCs w:val="17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1056"/>
    <w:rPr>
      <w:sz w:val="22"/>
      <w:lang w:eastAsia="zh-CN"/>
    </w:rPr>
  </w:style>
  <w:style w:type="paragraph" w:styleId="NormalWeb">
    <w:name w:val="Normal (Web)"/>
    <w:basedOn w:val="Normal"/>
    <w:uiPriority w:val="99"/>
    <w:unhideWhenUsed/>
    <w:rsid w:val="003B1A7D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mctextpopup">
    <w:name w:val="mctextpopup"/>
    <w:rsid w:val="003B1A7D"/>
  </w:style>
  <w:style w:type="character" w:customStyle="1" w:styleId="mctextpopupbody3">
    <w:name w:val="mctextpopupbody3"/>
    <w:rsid w:val="003B1A7D"/>
    <w:rPr>
      <w:b w:val="0"/>
      <w:bCs w:val="0"/>
      <w:color w:val="EBEBEB"/>
      <w:bdr w:val="none" w:sz="0" w:space="0" w:color="auto" w:frame="1"/>
    </w:rPr>
  </w:style>
  <w:style w:type="character" w:styleId="CommentReference">
    <w:name w:val="annotation reference"/>
    <w:rsid w:val="00AA2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297"/>
    <w:rPr>
      <w:sz w:val="20"/>
    </w:rPr>
  </w:style>
  <w:style w:type="character" w:customStyle="1" w:styleId="CommentTextChar">
    <w:name w:val="Comment Text Char"/>
    <w:link w:val="CommentText"/>
    <w:rsid w:val="00AA229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A2297"/>
    <w:rPr>
      <w:b/>
      <w:bCs/>
    </w:rPr>
  </w:style>
  <w:style w:type="character" w:customStyle="1" w:styleId="CommentSubjectChar">
    <w:name w:val="Comment Subject Char"/>
    <w:link w:val="CommentSubject"/>
    <w:rsid w:val="00AA2297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AA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297"/>
    <w:rPr>
      <w:rFonts w:ascii="Tahoma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4049D1"/>
    <w:rPr>
      <w:sz w:val="20"/>
    </w:rPr>
  </w:style>
  <w:style w:type="character" w:customStyle="1" w:styleId="FootnoteTextChar">
    <w:name w:val="Footnote Text Char"/>
    <w:link w:val="FootnoteText"/>
    <w:rsid w:val="004049D1"/>
    <w:rPr>
      <w:lang w:eastAsia="zh-CN"/>
    </w:rPr>
  </w:style>
  <w:style w:type="character" w:styleId="FootnoteReference">
    <w:name w:val="footnote reference"/>
    <w:rsid w:val="004049D1"/>
    <w:rPr>
      <w:vertAlign w:val="superscript"/>
    </w:rPr>
  </w:style>
  <w:style w:type="paragraph" w:styleId="EndnoteText">
    <w:name w:val="endnote text"/>
    <w:basedOn w:val="Normal"/>
    <w:link w:val="EndnoteTextChar"/>
    <w:rsid w:val="006D7C49"/>
    <w:rPr>
      <w:sz w:val="20"/>
    </w:rPr>
  </w:style>
  <w:style w:type="character" w:customStyle="1" w:styleId="EndnoteTextChar">
    <w:name w:val="Endnote Text Char"/>
    <w:link w:val="EndnoteText"/>
    <w:rsid w:val="006D7C49"/>
    <w:rPr>
      <w:lang w:eastAsia="zh-CN"/>
    </w:rPr>
  </w:style>
  <w:style w:type="character" w:styleId="EndnoteReference">
    <w:name w:val="endnote reference"/>
    <w:rsid w:val="006D7C49"/>
    <w:rPr>
      <w:vertAlign w:val="superscript"/>
    </w:rPr>
  </w:style>
  <w:style w:type="character" w:styleId="Hyperlink">
    <w:name w:val="Hyperlink"/>
    <w:rsid w:val="00473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BulletsAgency"/>
    <w:pPr>
      <w:numPr>
        <w:numId w:val="3"/>
      </w:numPr>
    </w:pPr>
  </w:style>
  <w:style w:type="numbering" w:customStyle="1" w:styleId="HeaderChar">
    <w:name w:val="NumberlistAgenc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18" w:color="auto"/>
        <w:bottom w:val="none" w:sz="0" w:space="0" w:color="auto"/>
        <w:right w:val="none" w:sz="0" w:space="12" w:color="auto"/>
      </w:divBdr>
      <w:divsChild>
        <w:div w:id="373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87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471B-40DF-4519-8030-680FB5C7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C31D8720</Template>
  <TotalTime>1</TotalTime>
  <Pages>4</Pages>
  <Words>587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results_Modalities and timing of posting</vt:lpstr>
    </vt:vector>
  </TitlesOfParts>
  <Company>European Medicines Agency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results_Modalities and timing of posting</dc:title>
  <dc:creator>Gunter Egger</dc:creator>
  <cp:lastModifiedBy>Cruickshank Susan</cp:lastModifiedBy>
  <cp:revision>2</cp:revision>
  <cp:lastPrinted>2013-05-30T16:26:00Z</cp:lastPrinted>
  <dcterms:created xsi:type="dcterms:W3CDTF">2016-07-18T13:57:00Z</dcterms:created>
  <dcterms:modified xsi:type="dcterms:W3CDTF">2016-07-18T13:57:00Z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CURRENT,1.25</vt:lpwstr>
  </property>
  <property fmtid="{D5CDD505-2E9C-101B-9397-08002B2CF9AE}" pid="3" name="DM_Name">
    <vt:lpwstr>Trial results_Modalities and timing of posting</vt:lpwstr>
  </property>
  <property fmtid="{D5CDD505-2E9C-101B-9397-08002B2CF9AE}" pid="4" name="DM_Creation_Date">
    <vt:lpwstr>21/04/2016 10:21:39</vt:lpwstr>
  </property>
  <property fmtid="{D5CDD505-2E9C-101B-9397-08002B2CF9AE}" pid="5" name="DM_Modify_Date">
    <vt:lpwstr>21/04/2016 10:21:39</vt:lpwstr>
  </property>
  <property fmtid="{D5CDD505-2E9C-101B-9397-08002B2CF9AE}" pid="6" name="DM_Creator_Name">
    <vt:lpwstr>Egger Gunter</vt:lpwstr>
  </property>
  <property fmtid="{D5CDD505-2E9C-101B-9397-08002B2CF9AE}" pid="7" name="DM_Modifier_Name">
    <vt:lpwstr>Egger Gunter</vt:lpwstr>
  </property>
  <property fmtid="{D5CDD505-2E9C-101B-9397-08002B2CF9AE}" pid="8" name="DM_Type">
    <vt:lpwstr>emea_document</vt:lpwstr>
  </property>
  <property fmtid="{D5CDD505-2E9C-101B-9397-08002B2CF9AE}" pid="9" name="DM_DocRefId">
    <vt:lpwstr>EMA/333427/2013</vt:lpwstr>
  </property>
  <property fmtid="{D5CDD505-2E9C-101B-9397-08002B2CF9AE}" pid="10" name="DM_Category">
    <vt:lpwstr>General</vt:lpwstr>
  </property>
  <property fmtid="{D5CDD505-2E9C-101B-9397-08002B2CF9AE}" pid="11" name="DM_Path">
    <vt:lpwstr>/13. Projects/00464 EudraCT Clinical Trials System Implementation/Business Modeling/Paediatric business requirements</vt:lpwstr>
  </property>
  <property fmtid="{D5CDD505-2E9C-101B-9397-08002B2CF9AE}" pid="12" name="DM_emea_doc_ref_id">
    <vt:lpwstr>EMA/333427/2013</vt:lpwstr>
  </property>
  <property fmtid="{D5CDD505-2E9C-101B-9397-08002B2CF9AE}" pid="13" name="DM_Modifer_Name">
    <vt:lpwstr>Egger Gunter</vt:lpwstr>
  </property>
  <property fmtid="{D5CDD505-2E9C-101B-9397-08002B2CF9AE}" pid="14" name="DM_Modified_Date">
    <vt:lpwstr>21/04/2016 10:21:39</vt:lpwstr>
  </property>
</Properties>
</file>